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67" w:rsidRPr="00DB3693" w:rsidRDefault="00004D67">
      <w:pPr>
        <w:rPr>
          <w:rFonts w:ascii="Century Gothic" w:hAnsi="Century Gothic" w:cs="Century Gothic"/>
        </w:rPr>
      </w:pPr>
    </w:p>
    <w:p w:rsidR="00004D67" w:rsidRPr="00DB3693" w:rsidRDefault="00004D67" w:rsidP="00DB3693">
      <w:pPr>
        <w:jc w:val="right"/>
        <w:rPr>
          <w:rFonts w:ascii="Century Gothic" w:hAnsi="Century Gothic" w:cs="Century Gothic"/>
        </w:rPr>
      </w:pPr>
      <w:r w:rsidRPr="00DB3693">
        <w:rPr>
          <w:rFonts w:ascii="Century Gothic" w:hAnsi="Century Gothic" w:cs="Century Gothic"/>
        </w:rPr>
        <w:t xml:space="preserve">Teano, </w:t>
      </w:r>
      <w:r w:rsidR="007B69A8">
        <w:rPr>
          <w:rFonts w:ascii="Century Gothic" w:hAnsi="Century Gothic" w:cs="Century Gothic"/>
        </w:rPr>
        <w:t>20/02/2015</w:t>
      </w:r>
    </w:p>
    <w:p w:rsidR="00004D67" w:rsidRPr="00DB3693" w:rsidRDefault="00004D67">
      <w:pPr>
        <w:rPr>
          <w:rFonts w:ascii="Century Gothic" w:hAnsi="Century Gothic" w:cs="Century Gothic"/>
        </w:rPr>
      </w:pPr>
    </w:p>
    <w:p w:rsidR="00004D67" w:rsidRPr="00DB3693" w:rsidRDefault="00004D67">
      <w:pPr>
        <w:rPr>
          <w:rFonts w:ascii="Century Gothic" w:hAnsi="Century Gothic" w:cs="Century Gothic"/>
        </w:rPr>
      </w:pPr>
      <w:r w:rsidRPr="00DB3693">
        <w:rPr>
          <w:rFonts w:ascii="Century Gothic" w:hAnsi="Century Gothic" w:cs="Century Gothic"/>
        </w:rPr>
        <w:t>Prot. n°</w:t>
      </w:r>
      <w:r w:rsidR="007B69A8">
        <w:rPr>
          <w:rFonts w:ascii="Century Gothic" w:hAnsi="Century Gothic" w:cs="Century Gothic"/>
        </w:rPr>
        <w:t xml:space="preserve"> 919</w:t>
      </w:r>
      <w:bookmarkStart w:id="0" w:name="_GoBack"/>
      <w:bookmarkEnd w:id="0"/>
    </w:p>
    <w:p w:rsidR="00004D67" w:rsidRPr="00DB3693" w:rsidRDefault="00004D67" w:rsidP="00DB3693">
      <w:pPr>
        <w:spacing w:after="0" w:line="240" w:lineRule="auto"/>
        <w:jc w:val="right"/>
        <w:rPr>
          <w:rFonts w:ascii="Century Gothic" w:hAnsi="Century Gothic" w:cs="Century Gothic"/>
        </w:rPr>
      </w:pPr>
      <w:r w:rsidRPr="00DB3693">
        <w:rPr>
          <w:rFonts w:ascii="Century Gothic" w:hAnsi="Century Gothic" w:cs="Century Gothic"/>
        </w:rPr>
        <w:t>A tutti i docenti</w:t>
      </w:r>
    </w:p>
    <w:p w:rsidR="00004D67" w:rsidRPr="00DB3693" w:rsidRDefault="00004D67" w:rsidP="00DB3693">
      <w:pPr>
        <w:spacing w:after="0" w:line="240" w:lineRule="auto"/>
        <w:jc w:val="right"/>
        <w:rPr>
          <w:rFonts w:ascii="Century Gothic" w:hAnsi="Century Gothic" w:cs="Century Gothic"/>
        </w:rPr>
      </w:pPr>
      <w:r w:rsidRPr="00DB3693">
        <w:rPr>
          <w:rFonts w:ascii="Century Gothic" w:hAnsi="Century Gothic" w:cs="Century Gothic"/>
        </w:rPr>
        <w:t>All’Albo sedi</w:t>
      </w:r>
    </w:p>
    <w:p w:rsidR="00004D67" w:rsidRPr="00DB3693" w:rsidRDefault="00004D67" w:rsidP="00DB3693">
      <w:pPr>
        <w:spacing w:after="0" w:line="240" w:lineRule="auto"/>
        <w:jc w:val="right"/>
        <w:rPr>
          <w:rFonts w:ascii="Century Gothic" w:hAnsi="Century Gothic" w:cs="Century Gothic"/>
        </w:rPr>
      </w:pPr>
      <w:r w:rsidRPr="00DB3693">
        <w:rPr>
          <w:rFonts w:ascii="Century Gothic" w:hAnsi="Century Gothic" w:cs="Century Gothic"/>
        </w:rPr>
        <w:t>Al sito</w:t>
      </w:r>
      <w:r>
        <w:rPr>
          <w:rFonts w:ascii="Century Gothic" w:hAnsi="Century Gothic" w:cs="Century Gothic"/>
        </w:rPr>
        <w:t xml:space="preserve"> </w:t>
      </w:r>
      <w:r w:rsidRPr="00BA720A">
        <w:rPr>
          <w:rFonts w:ascii="Century Gothic" w:hAnsi="Century Gothic" w:cs="Century Gothic"/>
          <w:i/>
          <w:iCs/>
        </w:rPr>
        <w:t>web</w:t>
      </w:r>
    </w:p>
    <w:p w:rsidR="00004D67" w:rsidRPr="00DB3693" w:rsidRDefault="00004D67" w:rsidP="00DB3693">
      <w:pPr>
        <w:spacing w:after="0" w:line="240" w:lineRule="auto"/>
        <w:jc w:val="right"/>
        <w:rPr>
          <w:rFonts w:ascii="Century Gothic" w:hAnsi="Century Gothic" w:cs="Century Gothic"/>
        </w:rPr>
      </w:pPr>
    </w:p>
    <w:p w:rsidR="00004D67" w:rsidRPr="00DB3693" w:rsidRDefault="00004D67" w:rsidP="00DB3693">
      <w:pPr>
        <w:spacing w:after="0" w:line="240" w:lineRule="auto"/>
        <w:rPr>
          <w:rFonts w:ascii="Century Gothic" w:hAnsi="Century Gothic" w:cs="Century Gothic"/>
          <w:b/>
          <w:bCs/>
        </w:rPr>
      </w:pPr>
      <w:r w:rsidRPr="00DB3693">
        <w:rPr>
          <w:rFonts w:ascii="Century Gothic" w:hAnsi="Century Gothic" w:cs="Century Gothic"/>
          <w:b/>
          <w:bCs/>
        </w:rPr>
        <w:t>Oggetto: Modalità di attivazione della pausa didattica</w:t>
      </w:r>
    </w:p>
    <w:p w:rsidR="00004D67" w:rsidRPr="00DB3693" w:rsidRDefault="00004D67" w:rsidP="00DB3693">
      <w:pPr>
        <w:spacing w:after="0" w:line="240" w:lineRule="auto"/>
        <w:jc w:val="right"/>
        <w:rPr>
          <w:rFonts w:ascii="Century Gothic" w:hAnsi="Century Gothic" w:cs="Century Gothic"/>
        </w:rPr>
      </w:pPr>
    </w:p>
    <w:p w:rsidR="00004D67" w:rsidRDefault="00004D67" w:rsidP="00DB3693">
      <w:pPr>
        <w:jc w:val="both"/>
        <w:rPr>
          <w:rFonts w:ascii="Century Gothic" w:hAnsi="Century Gothic" w:cs="Century Gothic"/>
          <w:sz w:val="24"/>
          <w:szCs w:val="24"/>
        </w:rPr>
      </w:pPr>
      <w:r w:rsidRPr="00DB3693">
        <w:rPr>
          <w:rFonts w:ascii="Century Gothic" w:hAnsi="Century Gothic" w:cs="Century Gothic"/>
          <w:sz w:val="24"/>
          <w:szCs w:val="24"/>
        </w:rPr>
        <w:t xml:space="preserve">Per tutte le discipline i recuperi verranno attivati in orario curricolare, secondo le modalità della pausa didattica. </w:t>
      </w:r>
    </w:p>
    <w:p w:rsidR="00004D67" w:rsidRPr="00DB3693" w:rsidRDefault="00004D67" w:rsidP="00DB3693">
      <w:pPr>
        <w:jc w:val="both"/>
        <w:rPr>
          <w:rFonts w:ascii="Century Gothic" w:hAnsi="Century Gothic" w:cs="Century Gothic"/>
          <w:sz w:val="24"/>
          <w:szCs w:val="24"/>
        </w:rPr>
      </w:pPr>
      <w:r w:rsidRPr="00DB3693">
        <w:rPr>
          <w:rFonts w:ascii="Century Gothic" w:hAnsi="Century Gothic" w:cs="Century Gothic"/>
          <w:sz w:val="24"/>
          <w:szCs w:val="24"/>
        </w:rPr>
        <w:t>La pausa didattica sarà attuata nell’arco di tre settimane</w:t>
      </w:r>
      <w:r>
        <w:rPr>
          <w:rFonts w:ascii="Century Gothic" w:hAnsi="Century Gothic" w:cs="Century Gothic"/>
          <w:sz w:val="24"/>
          <w:szCs w:val="24"/>
        </w:rPr>
        <w:t>,</w:t>
      </w:r>
      <w:r w:rsidRPr="00DB3693">
        <w:rPr>
          <w:rFonts w:ascii="Century Gothic" w:hAnsi="Century Gothic" w:cs="Century Gothic"/>
          <w:sz w:val="24"/>
          <w:szCs w:val="24"/>
        </w:rPr>
        <w:t xml:space="preserve"> dal 23 febbraio al 14 marzo 2015, per le classi I</w:t>
      </w:r>
      <w:r w:rsidRPr="00C53A45">
        <w:rPr>
          <w:rFonts w:ascii="Century Gothic" w:hAnsi="Century Gothic" w:cs="Century Gothic"/>
          <w:sz w:val="24"/>
          <w:szCs w:val="24"/>
          <w:vertAlign w:val="superscript"/>
        </w:rPr>
        <w:t>e</w:t>
      </w:r>
      <w:r w:rsidRPr="00DB3693">
        <w:rPr>
          <w:rFonts w:ascii="Century Gothic" w:hAnsi="Century Gothic" w:cs="Century Gothic"/>
          <w:sz w:val="24"/>
          <w:szCs w:val="24"/>
        </w:rPr>
        <w:t>,II</w:t>
      </w:r>
      <w:r w:rsidRPr="00C53A45">
        <w:rPr>
          <w:rFonts w:ascii="Century Gothic" w:hAnsi="Century Gothic" w:cs="Century Gothic"/>
          <w:sz w:val="24"/>
          <w:szCs w:val="24"/>
          <w:vertAlign w:val="superscript"/>
        </w:rPr>
        <w:t>e</w:t>
      </w:r>
      <w:r w:rsidRPr="00DB3693">
        <w:rPr>
          <w:rFonts w:ascii="Century Gothic" w:hAnsi="Century Gothic" w:cs="Century Gothic"/>
          <w:sz w:val="24"/>
          <w:szCs w:val="24"/>
        </w:rPr>
        <w:t>,II</w:t>
      </w:r>
      <w:r w:rsidRPr="00C53A45">
        <w:rPr>
          <w:rFonts w:ascii="Century Gothic" w:hAnsi="Century Gothic" w:cs="Century Gothic"/>
          <w:sz w:val="24"/>
          <w:szCs w:val="24"/>
          <w:vertAlign w:val="superscript"/>
        </w:rPr>
        <w:t>e</w:t>
      </w:r>
      <w:r w:rsidRPr="00DB3693">
        <w:rPr>
          <w:rFonts w:ascii="Century Gothic" w:hAnsi="Century Gothic" w:cs="Century Gothic"/>
          <w:sz w:val="24"/>
          <w:szCs w:val="24"/>
        </w:rPr>
        <w:t>,IV</w:t>
      </w:r>
      <w:r w:rsidRPr="00C53A45">
        <w:rPr>
          <w:rFonts w:ascii="Century Gothic" w:hAnsi="Century Gothic" w:cs="Century Gothic"/>
          <w:sz w:val="24"/>
          <w:szCs w:val="24"/>
          <w:vertAlign w:val="superscript"/>
        </w:rPr>
        <w:t>e</w:t>
      </w:r>
      <w:r w:rsidRPr="00DB3693">
        <w:rPr>
          <w:rFonts w:ascii="Century Gothic" w:hAnsi="Century Gothic" w:cs="Century Gothic"/>
          <w:sz w:val="24"/>
          <w:szCs w:val="24"/>
        </w:rPr>
        <w:t xml:space="preserve">, e </w:t>
      </w:r>
      <w:r>
        <w:rPr>
          <w:rFonts w:ascii="Century Gothic" w:hAnsi="Century Gothic" w:cs="Century Gothic"/>
          <w:sz w:val="24"/>
          <w:szCs w:val="24"/>
        </w:rPr>
        <w:t xml:space="preserve">per due settimane, </w:t>
      </w:r>
      <w:r w:rsidRPr="00DB3693">
        <w:rPr>
          <w:rFonts w:ascii="Century Gothic" w:hAnsi="Century Gothic" w:cs="Century Gothic"/>
          <w:sz w:val="24"/>
          <w:szCs w:val="24"/>
        </w:rPr>
        <w:t>dal 23 febbraio al 7 marzo 2015, per le classi V</w:t>
      </w:r>
      <w:r w:rsidRPr="00C53A45">
        <w:rPr>
          <w:rFonts w:ascii="Century Gothic" w:hAnsi="Century Gothic" w:cs="Century Gothic"/>
          <w:sz w:val="24"/>
          <w:szCs w:val="24"/>
          <w:vertAlign w:val="superscript"/>
        </w:rPr>
        <w:t>e</w:t>
      </w:r>
      <w:r w:rsidRPr="00DB3693">
        <w:rPr>
          <w:rFonts w:ascii="Century Gothic" w:hAnsi="Century Gothic" w:cs="Century Gothic"/>
          <w:sz w:val="24"/>
          <w:szCs w:val="24"/>
        </w:rPr>
        <w:t>. (DELIBERA CD DEL 19/02/2015)</w:t>
      </w:r>
      <w:r>
        <w:rPr>
          <w:rFonts w:ascii="Century Gothic" w:hAnsi="Century Gothic" w:cs="Century Gothic"/>
          <w:sz w:val="24"/>
          <w:szCs w:val="24"/>
        </w:rPr>
        <w:t>.</w:t>
      </w:r>
    </w:p>
    <w:p w:rsidR="00004D67" w:rsidRPr="00DB3693" w:rsidRDefault="00004D67" w:rsidP="00DB3693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L’</w:t>
      </w:r>
      <w:r w:rsidRPr="00DB3693">
        <w:rPr>
          <w:rFonts w:ascii="Century Gothic" w:hAnsi="Century Gothic" w:cs="Century Gothic"/>
          <w:sz w:val="24"/>
          <w:szCs w:val="24"/>
        </w:rPr>
        <w:t>attività svolta dovrà essere debitamente documentata utili</w:t>
      </w:r>
      <w:r>
        <w:rPr>
          <w:rFonts w:ascii="Century Gothic" w:hAnsi="Century Gothic" w:cs="Century Gothic"/>
          <w:sz w:val="24"/>
          <w:szCs w:val="24"/>
        </w:rPr>
        <w:t xml:space="preserve">zzando l’apposito </w:t>
      </w:r>
      <w:r w:rsidRPr="00C14792">
        <w:rPr>
          <w:rFonts w:ascii="Century Gothic" w:hAnsi="Century Gothic" w:cs="Century Gothic"/>
          <w:b/>
          <w:bCs/>
          <w:i/>
          <w:iCs/>
          <w:sz w:val="24"/>
          <w:szCs w:val="24"/>
        </w:rPr>
        <w:t>Registro Pausa Didattica</w:t>
      </w: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,</w:t>
      </w:r>
      <w:r>
        <w:rPr>
          <w:rFonts w:ascii="Century Gothic" w:hAnsi="Century Gothic" w:cs="Century Gothic"/>
          <w:sz w:val="24"/>
          <w:szCs w:val="24"/>
        </w:rPr>
        <w:t xml:space="preserve"> che dovrà contenere</w:t>
      </w:r>
      <w:r w:rsidRPr="00DB3693">
        <w:rPr>
          <w:rFonts w:ascii="Century Gothic" w:hAnsi="Century Gothic" w:cs="Century Gothic"/>
          <w:sz w:val="24"/>
          <w:szCs w:val="24"/>
        </w:rPr>
        <w:t xml:space="preserve"> l’indicazione </w:t>
      </w:r>
      <w:r>
        <w:rPr>
          <w:rFonts w:ascii="Century Gothic" w:hAnsi="Century Gothic" w:cs="Century Gothic"/>
          <w:sz w:val="24"/>
          <w:szCs w:val="24"/>
        </w:rPr>
        <w:t xml:space="preserve">della presenza dell’allievo e </w:t>
      </w:r>
      <w:r w:rsidRPr="00DB3693">
        <w:rPr>
          <w:rFonts w:ascii="Century Gothic" w:hAnsi="Century Gothic" w:cs="Century Gothic"/>
          <w:sz w:val="24"/>
          <w:szCs w:val="24"/>
        </w:rPr>
        <w:t>degli argomenti</w:t>
      </w:r>
      <w:r>
        <w:rPr>
          <w:rFonts w:ascii="Century Gothic" w:hAnsi="Century Gothic" w:cs="Century Gothic"/>
          <w:sz w:val="24"/>
          <w:szCs w:val="24"/>
        </w:rPr>
        <w:t xml:space="preserve">  trattati. </w:t>
      </w:r>
      <w:r w:rsidRPr="00DB3693">
        <w:rPr>
          <w:rFonts w:ascii="Century Gothic" w:hAnsi="Century Gothic" w:cs="Century Gothic"/>
          <w:sz w:val="24"/>
          <w:szCs w:val="24"/>
        </w:rPr>
        <w:t xml:space="preserve">Al termine di tale periodo verrà effettuata una </w:t>
      </w:r>
      <w:r>
        <w:rPr>
          <w:rFonts w:ascii="Century Gothic" w:hAnsi="Century Gothic" w:cs="Century Gothic"/>
          <w:b/>
          <w:bCs/>
          <w:sz w:val="24"/>
          <w:szCs w:val="24"/>
        </w:rPr>
        <w:t>prova</w:t>
      </w:r>
      <w:r w:rsidRPr="00DB3693">
        <w:rPr>
          <w:rFonts w:ascii="Century Gothic" w:hAnsi="Century Gothic" w:cs="Century Gothic"/>
          <w:sz w:val="24"/>
          <w:szCs w:val="24"/>
        </w:rPr>
        <w:t xml:space="preserve"> per verificare il raggiungimen</w:t>
      </w:r>
      <w:r>
        <w:rPr>
          <w:rFonts w:ascii="Century Gothic" w:hAnsi="Century Gothic" w:cs="Century Gothic"/>
          <w:sz w:val="24"/>
          <w:szCs w:val="24"/>
        </w:rPr>
        <w:t xml:space="preserve">to degli obiettivi del recupero, i risultati della quale saranno riportati nel </w:t>
      </w:r>
      <w:r w:rsidRPr="00C14792">
        <w:rPr>
          <w:rFonts w:ascii="Century Gothic" w:hAnsi="Century Gothic" w:cs="Century Gothic"/>
          <w:b/>
          <w:bCs/>
          <w:i/>
          <w:iCs/>
          <w:sz w:val="24"/>
          <w:szCs w:val="24"/>
        </w:rPr>
        <w:t>Registro verifica.</w:t>
      </w:r>
    </w:p>
    <w:p w:rsidR="00004D67" w:rsidRPr="00DB3693" w:rsidRDefault="00004D67" w:rsidP="00DB3693">
      <w:pPr>
        <w:jc w:val="both"/>
        <w:rPr>
          <w:rFonts w:ascii="Century Gothic" w:hAnsi="Century Gothic" w:cs="Century Gothic"/>
          <w:sz w:val="24"/>
          <w:szCs w:val="24"/>
        </w:rPr>
      </w:pPr>
      <w:r w:rsidRPr="00DB3693">
        <w:rPr>
          <w:rFonts w:ascii="Century Gothic" w:hAnsi="Century Gothic" w:cs="Century Gothic"/>
          <w:sz w:val="24"/>
          <w:szCs w:val="24"/>
        </w:rPr>
        <w:t xml:space="preserve">Nell’ambito delle attività </w:t>
      </w:r>
      <w:r>
        <w:rPr>
          <w:rFonts w:ascii="Century Gothic" w:hAnsi="Century Gothic" w:cs="Century Gothic"/>
          <w:sz w:val="24"/>
          <w:szCs w:val="24"/>
        </w:rPr>
        <w:t>programmate</w:t>
      </w:r>
      <w:r w:rsidRPr="00DB3693">
        <w:rPr>
          <w:rFonts w:ascii="Century Gothic" w:hAnsi="Century Gothic" w:cs="Century Gothic"/>
          <w:sz w:val="24"/>
          <w:szCs w:val="24"/>
        </w:rPr>
        <w:t xml:space="preserve"> ciascun </w:t>
      </w:r>
      <w:r>
        <w:rPr>
          <w:rFonts w:ascii="Century Gothic" w:hAnsi="Century Gothic" w:cs="Century Gothic"/>
          <w:sz w:val="24"/>
          <w:szCs w:val="24"/>
        </w:rPr>
        <w:t>docente potrà</w:t>
      </w:r>
      <w:r w:rsidRPr="00DB3693">
        <w:rPr>
          <w:rFonts w:ascii="Century Gothic" w:hAnsi="Century Gothic" w:cs="Century Gothic"/>
          <w:sz w:val="24"/>
          <w:szCs w:val="24"/>
        </w:rPr>
        <w:t xml:space="preserve"> attu</w:t>
      </w:r>
      <w:r>
        <w:rPr>
          <w:rFonts w:ascii="Century Gothic" w:hAnsi="Century Gothic" w:cs="Century Gothic"/>
          <w:sz w:val="24"/>
          <w:szCs w:val="24"/>
        </w:rPr>
        <w:t>are</w:t>
      </w:r>
      <w:r w:rsidRPr="00DB3693">
        <w:rPr>
          <w:rFonts w:ascii="Century Gothic" w:hAnsi="Century Gothic" w:cs="Century Gothic"/>
          <w:sz w:val="24"/>
          <w:szCs w:val="24"/>
        </w:rPr>
        <w:t xml:space="preserve"> le strategie ritenute più idonee </w:t>
      </w:r>
      <w:r>
        <w:rPr>
          <w:rFonts w:ascii="Century Gothic" w:hAnsi="Century Gothic" w:cs="Century Gothic"/>
          <w:sz w:val="24"/>
          <w:szCs w:val="24"/>
        </w:rPr>
        <w:t>alla valorizzazione</w:t>
      </w:r>
      <w:r w:rsidRPr="00DB3693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de</w:t>
      </w:r>
      <w:r w:rsidRPr="00DB3693">
        <w:rPr>
          <w:rFonts w:ascii="Century Gothic" w:hAnsi="Century Gothic" w:cs="Century Gothic"/>
          <w:sz w:val="24"/>
          <w:szCs w:val="24"/>
        </w:rPr>
        <w:t>gli alunni che non necessitano di recupero, quali</w:t>
      </w:r>
      <w:r>
        <w:rPr>
          <w:rFonts w:ascii="Century Gothic" w:hAnsi="Century Gothic" w:cs="Century Gothic"/>
          <w:sz w:val="24"/>
          <w:szCs w:val="24"/>
        </w:rPr>
        <w:t>,</w:t>
      </w:r>
      <w:r w:rsidRPr="00DB3693">
        <w:rPr>
          <w:rFonts w:ascii="Century Gothic" w:hAnsi="Century Gothic" w:cs="Century Gothic"/>
          <w:sz w:val="24"/>
          <w:szCs w:val="24"/>
        </w:rPr>
        <w:t xml:space="preserve"> ad esempio, letture</w:t>
      </w:r>
      <w:r>
        <w:rPr>
          <w:rFonts w:ascii="Century Gothic" w:hAnsi="Century Gothic" w:cs="Century Gothic"/>
          <w:sz w:val="24"/>
          <w:szCs w:val="24"/>
        </w:rPr>
        <w:t>,</w:t>
      </w:r>
      <w:r w:rsidRPr="00DB3693">
        <w:rPr>
          <w:rFonts w:ascii="Century Gothic" w:hAnsi="Century Gothic" w:cs="Century Gothic"/>
          <w:sz w:val="24"/>
          <w:szCs w:val="24"/>
        </w:rPr>
        <w:t xml:space="preserve"> es</w:t>
      </w:r>
      <w:r>
        <w:rPr>
          <w:rFonts w:ascii="Century Gothic" w:hAnsi="Century Gothic" w:cs="Century Gothic"/>
          <w:sz w:val="24"/>
          <w:szCs w:val="24"/>
        </w:rPr>
        <w:t>ercitazioni di approfondimento, compiti di</w:t>
      </w:r>
      <w:r w:rsidRPr="00DB3693">
        <w:rPr>
          <w:rFonts w:ascii="Century Gothic" w:hAnsi="Century Gothic" w:cs="Century Gothic"/>
          <w:sz w:val="24"/>
          <w:szCs w:val="24"/>
        </w:rPr>
        <w:t xml:space="preserve"> </w:t>
      </w:r>
      <w:r w:rsidRPr="00C53A45">
        <w:rPr>
          <w:rFonts w:ascii="Century Gothic" w:hAnsi="Century Gothic" w:cs="Century Gothic"/>
          <w:i/>
          <w:iCs/>
          <w:sz w:val="24"/>
          <w:szCs w:val="24"/>
        </w:rPr>
        <w:t>tutoring</w:t>
      </w:r>
      <w:r w:rsidRPr="00DB3693">
        <w:rPr>
          <w:rFonts w:ascii="Century Gothic" w:hAnsi="Century Gothic" w:cs="Century Gothic"/>
          <w:sz w:val="24"/>
          <w:szCs w:val="24"/>
        </w:rPr>
        <w:t xml:space="preserve"> dei compagni.</w:t>
      </w:r>
    </w:p>
    <w:p w:rsidR="00004D67" w:rsidRDefault="00004D67" w:rsidP="00DB3693">
      <w:pPr>
        <w:jc w:val="both"/>
        <w:rPr>
          <w:rFonts w:ascii="Century Gothic" w:hAnsi="Century Gothic" w:cs="Century Gothic"/>
          <w:sz w:val="24"/>
          <w:szCs w:val="24"/>
        </w:rPr>
      </w:pPr>
      <w:r w:rsidRPr="00DB3693">
        <w:rPr>
          <w:rFonts w:ascii="Century Gothic" w:hAnsi="Century Gothic" w:cs="Century Gothic"/>
          <w:sz w:val="24"/>
          <w:szCs w:val="24"/>
        </w:rPr>
        <w:t>Le prove di verifica per le classi I,II,III e IV saranno effettuate nella settimana</w:t>
      </w:r>
      <w:r>
        <w:rPr>
          <w:rFonts w:ascii="Century Gothic" w:hAnsi="Century Gothic" w:cs="Century Gothic"/>
          <w:sz w:val="24"/>
          <w:szCs w:val="24"/>
        </w:rPr>
        <w:t xml:space="preserve"> che va dal 16 al 21 marzo 2015. p</w:t>
      </w:r>
      <w:r w:rsidRPr="00DB3693">
        <w:rPr>
          <w:rFonts w:ascii="Century Gothic" w:hAnsi="Century Gothic" w:cs="Century Gothic"/>
          <w:sz w:val="24"/>
          <w:szCs w:val="24"/>
        </w:rPr>
        <w:t xml:space="preserve">er le classi V, </w:t>
      </w:r>
      <w:r>
        <w:rPr>
          <w:rFonts w:ascii="Century Gothic" w:hAnsi="Century Gothic" w:cs="Century Gothic"/>
          <w:sz w:val="24"/>
          <w:szCs w:val="24"/>
        </w:rPr>
        <w:t xml:space="preserve">invece, </w:t>
      </w:r>
      <w:r w:rsidRPr="00DB3693">
        <w:rPr>
          <w:rFonts w:ascii="Century Gothic" w:hAnsi="Century Gothic" w:cs="Century Gothic"/>
          <w:sz w:val="24"/>
          <w:szCs w:val="24"/>
        </w:rPr>
        <w:t>nella settimana che va dal 9 al 14 marzo 2015.</w:t>
      </w:r>
    </w:p>
    <w:p w:rsidR="00004D67" w:rsidRDefault="00004D67" w:rsidP="00DB3693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I </w:t>
      </w:r>
      <w:r w:rsidRPr="00D578A8">
        <w:rPr>
          <w:rFonts w:ascii="Century Gothic" w:hAnsi="Century Gothic" w:cs="Century Gothic"/>
          <w:i/>
          <w:iCs/>
          <w:sz w:val="24"/>
          <w:szCs w:val="24"/>
        </w:rPr>
        <w:t>Registri</w:t>
      </w:r>
      <w:r>
        <w:rPr>
          <w:rFonts w:ascii="Century Gothic" w:hAnsi="Century Gothic" w:cs="Century Gothic"/>
          <w:sz w:val="24"/>
          <w:szCs w:val="24"/>
        </w:rPr>
        <w:t xml:space="preserve"> summenzionati sono allegati alla presente circolare o scaricabili dal sito </w:t>
      </w:r>
      <w:r w:rsidRPr="00C53A45">
        <w:rPr>
          <w:rFonts w:ascii="Century Gothic" w:hAnsi="Century Gothic" w:cs="Century Gothic"/>
          <w:i/>
          <w:iCs/>
          <w:sz w:val="24"/>
          <w:szCs w:val="24"/>
        </w:rPr>
        <w:t>web</w:t>
      </w:r>
      <w:r>
        <w:rPr>
          <w:rFonts w:ascii="Century Gothic" w:hAnsi="Century Gothic" w:cs="Century Gothic"/>
          <w:sz w:val="24"/>
          <w:szCs w:val="24"/>
        </w:rPr>
        <w:t xml:space="preserve"> dell’Istituto.</w:t>
      </w:r>
    </w:p>
    <w:p w:rsidR="00004D67" w:rsidRDefault="00004D67" w:rsidP="00DB3693">
      <w:pPr>
        <w:jc w:val="both"/>
        <w:rPr>
          <w:rFonts w:ascii="Century Gothic" w:hAnsi="Century Gothic" w:cs="Century Gothic"/>
          <w:sz w:val="24"/>
          <w:szCs w:val="24"/>
        </w:rPr>
      </w:pPr>
    </w:p>
    <w:p w:rsidR="00004D67" w:rsidRDefault="00004D67" w:rsidP="00DB3693">
      <w:pPr>
        <w:jc w:val="right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Il Dirigente scolastico</w:t>
      </w:r>
    </w:p>
    <w:p w:rsidR="00004D67" w:rsidRDefault="00004D67" w:rsidP="00DB3693">
      <w:pPr>
        <w:jc w:val="right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F.to </w:t>
      </w:r>
      <w:r w:rsidRPr="00DB3693">
        <w:rPr>
          <w:rFonts w:ascii="Century Gothic" w:hAnsi="Century Gothic" w:cs="Century Gothic"/>
          <w:i/>
          <w:iCs/>
          <w:sz w:val="24"/>
          <w:szCs w:val="24"/>
        </w:rPr>
        <w:t>Francesco Mezzacapo</w:t>
      </w:r>
    </w:p>
    <w:sectPr w:rsidR="00004D67" w:rsidSect="00CB63D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45" w:rsidRDefault="00474345" w:rsidP="00790EDA">
      <w:pPr>
        <w:spacing w:after="0" w:line="240" w:lineRule="auto"/>
      </w:pPr>
      <w:r>
        <w:separator/>
      </w:r>
    </w:p>
  </w:endnote>
  <w:endnote w:type="continuationSeparator" w:id="0">
    <w:p w:rsidR="00474345" w:rsidRDefault="00474345" w:rsidP="0079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67" w:rsidRDefault="00004D67" w:rsidP="00790EDA">
    <w:pPr>
      <w:pStyle w:val="Pidipagina"/>
      <w:pBdr>
        <w:top w:val="single" w:sz="24" w:space="5" w:color="9BBB59"/>
      </w:pBdr>
      <w:jc w:val="center"/>
      <w:rPr>
        <w:i/>
        <w:iCs/>
        <w:color w:val="8C8C8C"/>
      </w:rPr>
    </w:pPr>
    <w:r w:rsidRPr="00790EDA">
      <w:rPr>
        <w:b/>
        <w:bCs/>
        <w:i/>
        <w:iCs/>
        <w:color w:val="632423"/>
        <w:sz w:val="18"/>
        <w:szCs w:val="18"/>
      </w:rPr>
      <w:t>IPSSART ISTITUTO ALBERGHIERO – sede centrale -viale dei Platani – 81057 – Teano (CE) – 0823 875782 –ipssarteano@virgilio.it – cerh02000g@istruzione.it – www.istitutoalberghieroteano.it – CF: 83002350615 – COD.</w:t>
    </w:r>
    <w:r>
      <w:rPr>
        <w:b/>
        <w:bCs/>
        <w:i/>
        <w:iCs/>
        <w:color w:val="632423"/>
        <w:sz w:val="18"/>
        <w:szCs w:val="18"/>
      </w:rPr>
      <w:t xml:space="preserve"> CER</w:t>
    </w:r>
    <w:r w:rsidRPr="00790EDA">
      <w:rPr>
        <w:b/>
        <w:bCs/>
        <w:i/>
        <w:iCs/>
        <w:color w:val="632423"/>
        <w:sz w:val="18"/>
        <w:szCs w:val="18"/>
      </w:rPr>
      <w:t>H02000G</w:t>
    </w:r>
  </w:p>
  <w:p w:rsidR="00004D67" w:rsidRDefault="00004D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45" w:rsidRDefault="00474345" w:rsidP="00790EDA">
      <w:pPr>
        <w:spacing w:after="0" w:line="240" w:lineRule="auto"/>
      </w:pPr>
      <w:r>
        <w:separator/>
      </w:r>
    </w:p>
  </w:footnote>
  <w:footnote w:type="continuationSeparator" w:id="0">
    <w:p w:rsidR="00474345" w:rsidRDefault="00474345" w:rsidP="0079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67" w:rsidRDefault="007B69A8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1347470</wp:posOffset>
          </wp:positionH>
          <wp:positionV relativeFrom="paragraph">
            <wp:posOffset>-97155</wp:posOffset>
          </wp:positionV>
          <wp:extent cx="3287395" cy="704850"/>
          <wp:effectExtent l="0" t="0" r="8255" b="0"/>
          <wp:wrapSquare wrapText="bothSides"/>
          <wp:docPr id="1" name="Immagine 2" descr="LOGO CON EMBL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CON EMBLE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739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D67" w:rsidRDefault="00004D6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32D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5E"/>
    <w:rsid w:val="00004D67"/>
    <w:rsid w:val="001958AE"/>
    <w:rsid w:val="002C7B16"/>
    <w:rsid w:val="00393B69"/>
    <w:rsid w:val="00416CC9"/>
    <w:rsid w:val="00474345"/>
    <w:rsid w:val="00483ECF"/>
    <w:rsid w:val="0048773E"/>
    <w:rsid w:val="0058626E"/>
    <w:rsid w:val="00720195"/>
    <w:rsid w:val="00752C3C"/>
    <w:rsid w:val="00790EDA"/>
    <w:rsid w:val="007B69A8"/>
    <w:rsid w:val="00862F82"/>
    <w:rsid w:val="009A39E3"/>
    <w:rsid w:val="009B535E"/>
    <w:rsid w:val="00A02697"/>
    <w:rsid w:val="00AC19E0"/>
    <w:rsid w:val="00B85D36"/>
    <w:rsid w:val="00BA720A"/>
    <w:rsid w:val="00C14792"/>
    <w:rsid w:val="00C53A45"/>
    <w:rsid w:val="00C742E9"/>
    <w:rsid w:val="00C8347E"/>
    <w:rsid w:val="00CB63DC"/>
    <w:rsid w:val="00CD3D81"/>
    <w:rsid w:val="00D578A8"/>
    <w:rsid w:val="00DB3693"/>
    <w:rsid w:val="00FD461E"/>
    <w:rsid w:val="00F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8AE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9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90ED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90EDA"/>
  </w:style>
  <w:style w:type="paragraph" w:styleId="Pidipagina">
    <w:name w:val="footer"/>
    <w:basedOn w:val="Normale"/>
    <w:link w:val="PidipaginaCarattere"/>
    <w:uiPriority w:val="99"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90EDA"/>
  </w:style>
  <w:style w:type="table" w:styleId="Grigliatabella">
    <w:name w:val="Table Grid"/>
    <w:basedOn w:val="Tabellanormale"/>
    <w:uiPriority w:val="99"/>
    <w:rsid w:val="00A026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8AE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9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90ED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90EDA"/>
  </w:style>
  <w:style w:type="paragraph" w:styleId="Pidipagina">
    <w:name w:val="footer"/>
    <w:basedOn w:val="Normale"/>
    <w:link w:val="PidipaginaCarattere"/>
    <w:uiPriority w:val="99"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90EDA"/>
  </w:style>
  <w:style w:type="table" w:styleId="Grigliatabella">
    <w:name w:val="Table Grid"/>
    <w:basedOn w:val="Tabellanormale"/>
    <w:uiPriority w:val="99"/>
    <w:rsid w:val="00A026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66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Teano, ……………………………</vt:lpstr>
    </vt:vector>
  </TitlesOfParts>
  <Company>IPSSART ISTITUTO ALBERGHIERO – sede centrale -viale dei Platani – 81057 – Teano (CE) – 0823 875782 –ipssarteano@virgilio.it – cerh02000g@istruzione.it – www.istitutoalberghieroteano.it – CF: 83002350615 – COD. CERH02000G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Teano, ……………………………</dc:title>
  <dc:creator>Utente</dc:creator>
  <cp:lastModifiedBy>Utente</cp:lastModifiedBy>
  <cp:revision>2</cp:revision>
  <dcterms:created xsi:type="dcterms:W3CDTF">2015-02-20T15:16:00Z</dcterms:created>
  <dcterms:modified xsi:type="dcterms:W3CDTF">2015-02-20T15:16:00Z</dcterms:modified>
</cp:coreProperties>
</file>